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412" w:type="dxa"/>
        <w:tblBorders>
          <w:top w:val="nil" w:sz="4" w:space="0" w:color="8C8C8C"/>
          <w:left w:val="nil" w:sz="4" w:space="0" w:color="8C8C8C"/>
          <w:bottom w:val="nil" w:sz="4" w:space="0" w:color="8C8C8C"/>
          <w:right w:val="nil" w:sz="4" w:space="0" w:color="8C8C8C"/>
          <w:insideH w:val="nil" w:sz="4" w:space="0" w:color="8C8C8C"/>
          <w:insideV w:val="nil" w:sz="4" w:space="0" w:color="8C8C8C"/>
        </w:tblBorders>
        <w:tblLayout w:type="fixed"/>
        <w:tblCellMar>
          <w:left w:w="90" w:type="dxa"/>
          <w:right w:w="90" w:type="dxa"/>
        </w:tblCellMar>
      </w:tblPr>
      <w:tblGrid>
        <w:gridCol w:w="4894"/>
        <w:gridCol w:w="4518"/>
      </w:tblGrid>
      <w:tr>
        <w:tc>
          <w:tcPr>
            <w:tcW w:w="4894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Le bailleur :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..........................................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..........................................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..........................................</w:t>
            </w:r>
          </w:p>
        </w:tc>
        <w:tc>
          <w:tcPr>
            <w:tcW w:w="4518" w:type="dxa"/>
          </w:tcPr>
          <w:p>
            <w:pPr>
              <w:spacing w:before="0" w:after="360"/>
            </w:pPr>
          </w:p>
          <w:p>
            <w:pPr>
              <w:spacing w:before="0" w:after="0"/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Le locataire :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........................................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........................................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........................................</w:t>
            </w:r>
          </w:p>
        </w:tc>
      </w:tr>
    </w:tbl>
    <w:p>
      <w:pPr>
        <w:spacing w:before="0" w:after="120"/>
      </w:pPr>
    </w:p>
    <w:p>
      <w:pPr>
        <w:spacing w:before="0" w:after="240"/>
        <w:jc w:val="right"/>
      </w:pPr>
      <w:r>
        <w:rPr>
          <w:rFonts w:ascii="Arial" w:hAnsi="Arial" w:cs="Arial"/>
          <w:sz w:val="21"/>
          <w:szCs w:val="21"/>
        </w:rPr>
        <w:t xml:space="preserve">À ........................, le ..........................</w:t>
      </w:r>
    </w:p>
    <w:p>
      <w:pPr>
        <w:spacing w:before="0" w:after="200"/>
      </w:pPr>
      <w:r>
        <w:rPr>
          <w:rFonts w:ascii="Arial" w:hAnsi="Arial" w:cs="Arial"/>
          <w:b/>
          <w:sz w:val="21"/>
          <w:szCs w:val="21"/>
        </w:rPr>
        <w:t xml:space="preserve">Objet : révision annuelle du loyer</w:t>
      </w:r>
    </w:p>
    <w:p>
      <w:pPr>
        <w:spacing w:before="0" w:after="120" w:line="400" w:lineRule="auto"/>
      </w:pPr>
      <w:r>
        <w:rPr>
          <w:rFonts w:ascii="Arial" w:hAnsi="Arial" w:cs="Arial"/>
          <w:sz w:val="21"/>
          <w:szCs w:val="21"/>
        </w:rPr>
        <w:t xml:space="preserve">Madame, Monsieur,</w:t>
      </w:r>
    </w:p>
    <w:p>
      <w:pPr>
        <w:spacing w:before="0" w:after="120" w:line="400" w:lineRule="auto"/>
      </w:pPr>
      <w:r>
        <w:rPr>
          <w:rFonts w:ascii="Arial" w:hAnsi="Arial" w:cs="Arial"/>
          <w:sz w:val="21"/>
          <w:szCs w:val="21"/>
        </w:rPr>
        <w:t xml:space="preserve">Votre bail prévoit une révision annuelle du loyer du logement situé ............................................................, selon l’indice de référence des loyers (IRL) publié par l’INSEE. La date de révision prévue est le ...... / ...... / .............</w:t>
      </w:r>
    </w:p>
    <w:tbl>
      <w:tblPr>
        <w:tblW w:w="941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left w:w="90" w:type="dxa"/>
          <w:right w:w="90" w:type="dxa"/>
        </w:tblCellMar>
      </w:tblPr>
      <w:tblGrid>
        <w:gridCol w:w="5647"/>
        <w:gridCol w:w="3765"/>
      </w:tblGrid>
      <w:tr>
        <w:tc>
          <w:tcPr>
            <w:tcW w:w="5647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Loyer actuel hors charges</w:t>
            </w:r>
          </w:p>
        </w:tc>
        <w:tc>
          <w:tcPr>
            <w:tcW w:w="3765" w:type="dxa"/>
          </w:tcPr>
          <w:p>
            <w:pPr>
              <w:spacing w:before="40" w:after="40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 xml:space="preserve">................</w:t>
            </w:r>
          </w:p>
        </w:tc>
      </w:tr>
      <w:tr>
        <w:tc>
          <w:tcPr>
            <w:tcW w:w="5647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Indice de référence (......................)</w:t>
            </w:r>
          </w:p>
        </w:tc>
        <w:tc>
          <w:tcPr>
            <w:tcW w:w="3765" w:type="dxa"/>
          </w:tcPr>
          <w:p>
            <w:pPr>
              <w:spacing w:before="40" w:after="40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 xml:space="preserve">............</w:t>
            </w:r>
          </w:p>
        </w:tc>
      </w:tr>
      <w:tr>
        <w:tc>
          <w:tcPr>
            <w:tcW w:w="5647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Nouvel indice (......................)</w:t>
            </w:r>
          </w:p>
        </w:tc>
        <w:tc>
          <w:tcPr>
            <w:tcW w:w="3765" w:type="dxa"/>
          </w:tcPr>
          <w:p>
            <w:pPr>
              <w:spacing w:before="40" w:after="40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 xml:space="preserve">............</w:t>
            </w:r>
          </w:p>
        </w:tc>
      </w:tr>
      <w:tr>
        <w:tc>
          <w:tcPr>
            <w:tcW w:w="5647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Calcul</w:t>
            </w:r>
          </w:p>
        </w:tc>
        <w:tc>
          <w:tcPr>
            <w:tcW w:w="3765" w:type="dxa"/>
          </w:tcPr>
          <w:p>
            <w:pPr>
              <w:spacing w:before="40" w:after="40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 xml:space="preserve">loyer × nouvel indice ÷ ancien indice</w:t>
            </w:r>
          </w:p>
        </w:tc>
      </w:tr>
      <w:tr>
        <w:tc>
          <w:tcPr>
            <w:tcW w:w="5647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Nouveau loyer hors charges</w:t>
            </w:r>
          </w:p>
        </w:tc>
        <w:tc>
          <w:tcPr>
            <w:tcW w:w="3765" w:type="dxa"/>
          </w:tcPr>
          <w:p>
            <w:pPr>
              <w:spacing w:before="40" w:after="40"/>
              <w:jc w:val="right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................</w:t>
            </w:r>
          </w:p>
        </w:tc>
      </w:tr>
    </w:tbl>
    <w:p>
      <w:pPr>
        <w:spacing w:before="0" w:after="60"/>
      </w:pPr>
    </w:p>
    <w:p>
      <w:pPr>
        <w:spacing w:before="0" w:after="120" w:line="400" w:lineRule="auto"/>
      </w:pPr>
      <w:r>
        <w:rPr>
          <w:rFonts w:ascii="Arial" w:hAnsi="Arial" w:cs="Arial"/>
          <w:sz w:val="21"/>
          <w:szCs w:val="21"/>
        </w:rPr>
        <w:t xml:space="preserve">Votre loyer hors charges passe donc de ................ à ................ par mois, à compter du ...... / ...... / ............. Les charges ne sont pas concernées par ce calcul.</w:t>
      </w:r>
    </w:p>
    <w:p>
      <w:pPr>
        <w:spacing w:before="80" w:after="120" w:line="400" w:lineRule="auto"/>
      </w:pPr>
      <w:r>
        <w:rPr>
          <w:rFonts w:ascii="Arial" w:hAnsi="Arial" w:cs="Arial"/>
          <w:sz w:val="21"/>
          <w:szCs w:val="21"/>
        </w:rPr>
        <w:t xml:space="preserve">Veuillez agréer, Madame, Monsieur, l’expression de nos salutations distinguées.</w:t>
      </w:r>
    </w:p>
    <w:p>
      <w:pPr>
        <w:spacing w:before="0" w:after="120"/>
      </w:pPr>
    </w:p>
    <w:p>
      <w:pPr>
        <w:spacing w:before="0" w:after="40"/>
        <w:ind w:left="5200"/>
      </w:pPr>
      <w:r>
        <w:rPr>
          <w:rFonts w:ascii="Arial" w:hAnsi="Arial" w:cs="Arial"/>
          <w:b/>
          <w:sz w:val="21"/>
          <w:szCs w:val="21"/>
        </w:rPr>
        <w:t xml:space="preserve">Le bailleur</w:t>
      </w:r>
    </w:p>
    <w:p>
      <w:pPr>
        <w:spacing w:before="0" w:after="1100"/>
        <w:ind w:left="5200"/>
      </w:pPr>
      <w:r>
        <w:rPr>
          <w:rFonts w:ascii="Arial" w:hAnsi="Arial" w:cs="Arial"/>
          <w:color w:val="555555"/>
          <w:sz w:val="18"/>
          <w:szCs w:val="18"/>
        </w:rPr>
        <w:t xml:space="preserve">Signature</w:t>
      </w:r>
    </w:p>
    <w:p>
      <w:pPr>
        <w:pBdr>
          <w:top w:val="single" w:sz="4" w:space="6" w:color="999999"/>
        </w:pBdr>
        <w:spacing w:before="120" w:after="60"/>
      </w:pPr>
      <w:r>
        <w:rPr>
          <w:rFonts w:ascii="Arial" w:hAnsi="Arial" w:cs="Arial"/>
          <w:color w:val="555555"/>
          <w:sz w:val="17"/>
          <w:szCs w:val="17"/>
        </w:rPr>
        <w:t xml:space="preserve">Révision prévue par la loi n° 89-462 du 6 juillet 1989, article 17-1 : loyer × nouvel indice ÷ ancien indice, arrondi au centime. Le bailleur dispose d’un an après la date de révision pour la demander ; elle n’a pas d’effet rétroactif.</w:t>
      </w:r>
    </w:p>
    <w:sectPr>
      <w:pgSz w:w="11906" w:h="16838"/>
      <w:pgMar w:top="1134" w:right="1247" w:bottom="1134" w:left="1247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Révision annuelle du loyer</dc:title>
  <dc:language>fr-FR</dc:language>
</cp:coreProperties>
</file>